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12" w:rsidRPr="002B1012" w:rsidRDefault="002B1012" w:rsidP="002B1012">
      <w:pPr>
        <w:widowControl/>
        <w:shd w:val="clear" w:color="auto" w:fill="FFFFFF"/>
        <w:jc w:val="center"/>
        <w:rPr>
          <w:rFonts w:ascii="宋体" w:eastAsia="宋体" w:hAnsi="宋体" w:cs="宋体"/>
          <w:color w:val="333333"/>
          <w:kern w:val="0"/>
          <w:sz w:val="16"/>
          <w:szCs w:val="16"/>
        </w:rPr>
      </w:pPr>
      <w:r w:rsidRPr="002B1012">
        <w:rPr>
          <w:rFonts w:ascii="宋体" w:eastAsia="宋体" w:hAnsi="宋体" w:cs="宋体" w:hint="eastAsia"/>
          <w:b/>
          <w:bCs/>
          <w:color w:val="333333"/>
          <w:kern w:val="0"/>
          <w:sz w:val="36"/>
          <w:szCs w:val="36"/>
        </w:rPr>
        <w:t>第二批支持创新相关改革举措推广清单</w:t>
      </w:r>
    </w:p>
    <w:p w:rsidR="002B1012" w:rsidRPr="002B1012" w:rsidRDefault="002B1012" w:rsidP="002B1012">
      <w:pPr>
        <w:widowControl/>
        <w:shd w:val="clear" w:color="auto" w:fill="FFFFFF"/>
        <w:jc w:val="center"/>
        <w:rPr>
          <w:rFonts w:ascii="宋体" w:eastAsia="宋体" w:hAnsi="宋体" w:cs="宋体" w:hint="eastAsia"/>
          <w:color w:val="333333"/>
          <w:kern w:val="0"/>
          <w:sz w:val="16"/>
          <w:szCs w:val="16"/>
        </w:rPr>
      </w:pPr>
    </w:p>
    <w:tbl>
      <w:tblPr>
        <w:tblW w:w="8504" w:type="dxa"/>
        <w:jc w:val="center"/>
        <w:tblCellMar>
          <w:left w:w="0" w:type="dxa"/>
          <w:right w:w="0" w:type="dxa"/>
        </w:tblCellMar>
        <w:tblLook w:val="04A0"/>
      </w:tblPr>
      <w:tblGrid>
        <w:gridCol w:w="694"/>
        <w:gridCol w:w="1716"/>
        <w:gridCol w:w="3780"/>
        <w:gridCol w:w="1260"/>
        <w:gridCol w:w="1054"/>
      </w:tblGrid>
      <w:tr w:rsidR="002B1012" w:rsidRPr="002B1012" w:rsidTr="002B1012">
        <w:trPr>
          <w:jc w:val="center"/>
        </w:trPr>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b/>
                <w:bCs/>
                <w:kern w:val="0"/>
                <w:sz w:val="20"/>
                <w:szCs w:val="20"/>
              </w:rPr>
              <w:t>序号</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b/>
                <w:bCs/>
                <w:kern w:val="0"/>
                <w:sz w:val="20"/>
                <w:szCs w:val="20"/>
              </w:rPr>
              <w:t>改革举措</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b/>
                <w:bCs/>
                <w:kern w:val="0"/>
                <w:sz w:val="20"/>
                <w:szCs w:val="20"/>
              </w:rPr>
              <w:t>主 要 内 容</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b/>
                <w:bCs/>
                <w:kern w:val="0"/>
                <w:sz w:val="20"/>
                <w:szCs w:val="20"/>
              </w:rPr>
              <w:t>指导部门</w:t>
            </w:r>
          </w:p>
        </w:tc>
        <w:tc>
          <w:tcPr>
            <w:tcW w:w="1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b/>
                <w:bCs/>
                <w:kern w:val="0"/>
                <w:sz w:val="20"/>
                <w:szCs w:val="20"/>
              </w:rPr>
              <w:t>推广范围</w:t>
            </w:r>
          </w:p>
        </w:tc>
      </w:tr>
      <w:tr w:rsidR="002B1012" w:rsidRPr="002B1012" w:rsidTr="002B1012">
        <w:trPr>
          <w:jc w:val="center"/>
        </w:trPr>
        <w:tc>
          <w:tcPr>
            <w:tcW w:w="85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left"/>
              <w:rPr>
                <w:rFonts w:ascii="宋体" w:eastAsia="宋体" w:hAnsi="宋体" w:cs="宋体"/>
                <w:kern w:val="0"/>
                <w:sz w:val="24"/>
                <w:szCs w:val="24"/>
              </w:rPr>
            </w:pPr>
            <w:r w:rsidRPr="002B1012">
              <w:rPr>
                <w:rFonts w:ascii="宋体" w:eastAsia="宋体" w:hAnsi="宋体" w:cs="宋体" w:hint="eastAsia"/>
                <w:b/>
                <w:bCs/>
                <w:kern w:val="0"/>
                <w:sz w:val="20"/>
                <w:szCs w:val="20"/>
              </w:rPr>
              <w:t>一、知识产权保护方面（共</w:t>
            </w:r>
            <w:r w:rsidRPr="002B1012">
              <w:rPr>
                <w:rFonts w:ascii="Calibri" w:eastAsia="宋体" w:hAnsi="Calibri" w:cs="宋体" w:hint="eastAsia"/>
                <w:b/>
                <w:bCs/>
                <w:kern w:val="0"/>
                <w:sz w:val="20"/>
                <w:szCs w:val="20"/>
              </w:rPr>
              <w:t>5</w:t>
            </w:r>
            <w:r w:rsidRPr="002B1012">
              <w:rPr>
                <w:rFonts w:ascii="宋体" w:eastAsia="宋体" w:hAnsi="宋体" w:cs="宋体" w:hint="eastAsia"/>
                <w:b/>
                <w:bCs/>
                <w:kern w:val="0"/>
                <w:sz w:val="20"/>
                <w:szCs w:val="20"/>
              </w:rPr>
              <w:t>项）</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1</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知识产权民事、刑事、行政案件“三合一”审判</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整合分散的审判资源，实行知识产权民事、刑事、行政案件审判“三合一”，实现审判力量集中、审判标准统一，提高审判效率，缩短审判周期。</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最高人民法院、最高人民检察院、国家知识产权局</w:t>
            </w:r>
          </w:p>
        </w:tc>
        <w:tc>
          <w:tcPr>
            <w:tcW w:w="1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2</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省级行政区内专利等专业技术性较强的知识产权案件跨市（区）审理</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授权市级人民法院跨市（区）管辖省级范围内第一审知识产权民事和行政案件，集中优势审判资源管辖技术性、专业性较强的案件，实现裁判标准统一。</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最高人民法院、国家知识产权局</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3</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以降低侵权损失为核心的专利保险机制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围绕专利应用和维权，开发包括专利代理责任险、专利执行险、专利被侵权损失险等保险产品，降低创新主体的侵权损失。</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国家知识产权局、中国银保监会</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4</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知识产权案件审判中引入技术调查官制度</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法院审理知识产权案件时，可以引入技术调查官，帮助法官准确高效地认定技术事实，提高审判质量和效率。</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最高人民法院、国家知识产权局</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5</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基于“两表指导、审助分流”的知识产权案件快速审判机制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法官助理庭前指导原被告双方聚焦问题，指导原被告双方填写《诉讼要素表》和《有效抗辩释明表》，帮助原告全面检视己方诉讼请求和证据，向原被告双方释明裁判法律依据；庭审时法官主要审理上述两个表格中的焦点问题，大幅减少反复释明法律规定和讨论原被告双方的无效主张、抗辩质证的时间，提高庭审效率，缩短诉讼周期。</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最高人民法院、国家知识产权局</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85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left"/>
              <w:rPr>
                <w:rFonts w:ascii="宋体" w:eastAsia="宋体" w:hAnsi="宋体" w:cs="宋体"/>
                <w:kern w:val="0"/>
                <w:sz w:val="24"/>
                <w:szCs w:val="24"/>
              </w:rPr>
            </w:pPr>
            <w:r w:rsidRPr="002B1012">
              <w:rPr>
                <w:rFonts w:ascii="宋体" w:eastAsia="宋体" w:hAnsi="宋体" w:cs="宋体" w:hint="eastAsia"/>
                <w:b/>
                <w:bCs/>
                <w:kern w:val="0"/>
                <w:sz w:val="20"/>
                <w:szCs w:val="20"/>
              </w:rPr>
              <w:t>二、科技成果转化激励方面（共</w:t>
            </w:r>
            <w:r w:rsidRPr="002B1012">
              <w:rPr>
                <w:rFonts w:ascii="Calibri" w:eastAsia="宋体" w:hAnsi="Calibri" w:cs="宋体" w:hint="eastAsia"/>
                <w:b/>
                <w:bCs/>
                <w:kern w:val="0"/>
                <w:sz w:val="20"/>
                <w:szCs w:val="20"/>
              </w:rPr>
              <w:t>4</w:t>
            </w:r>
            <w:r w:rsidRPr="002B1012">
              <w:rPr>
                <w:rFonts w:ascii="宋体" w:eastAsia="宋体" w:hAnsi="宋体" w:cs="宋体" w:hint="eastAsia"/>
                <w:b/>
                <w:bCs/>
                <w:kern w:val="0"/>
                <w:sz w:val="20"/>
                <w:szCs w:val="20"/>
              </w:rPr>
              <w:t>项）</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6</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以事前产权激励为核心的职务科技成果权属改革</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赋予科研人员一定比例的职务科技成果所有权，将事后科技成果转化收益奖励，前置为事前国有知识产权所有权奖励，以产权形式激发职务发明人从事科技成果转化的重要动力。</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科技部、国家发展改革委、财政部、国家知识产权局、教育部、国务院国资委、中科院、司法部</w:t>
            </w:r>
          </w:p>
        </w:tc>
        <w:tc>
          <w:tcPr>
            <w:tcW w:w="1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8个改革试验区域</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7</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技术经理人全程参与的科技成果转化服务模式</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以技术交易市场为依托，技术经理人全程参与成果转化，将技术供给方、技术需求方、技术中介整合在一起，集成技术、人才、政策、资金、服务等创新资源，帮助</w:t>
            </w:r>
            <w:r w:rsidRPr="002B1012">
              <w:rPr>
                <w:rFonts w:ascii="宋体" w:eastAsia="宋体" w:hAnsi="宋体" w:cs="宋体" w:hint="eastAsia"/>
                <w:kern w:val="0"/>
                <w:sz w:val="20"/>
                <w:szCs w:val="20"/>
              </w:rPr>
              <w:lastRenderedPageBreak/>
              <w:t>高校、科研院所提高成果转化效率和成功率。</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lastRenderedPageBreak/>
              <w:t>科技部</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lastRenderedPageBreak/>
              <w:t>8</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技术股与现金股结合激励的科技成果转化相关方利益捆绑机制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转制院所和事业单位管理人员、科研人员，在按有关规定履行审批程序后，以“技术股</w:t>
            </w:r>
            <w:r w:rsidRPr="002B1012">
              <w:rPr>
                <w:rFonts w:ascii="Calibri" w:eastAsia="宋体" w:hAnsi="Calibri" w:cs="宋体" w:hint="eastAsia"/>
                <w:kern w:val="0"/>
                <w:sz w:val="20"/>
                <w:szCs w:val="20"/>
              </w:rPr>
              <w:t>+</w:t>
            </w:r>
            <w:r w:rsidRPr="002B1012">
              <w:rPr>
                <w:rFonts w:ascii="宋体" w:eastAsia="宋体" w:hAnsi="宋体" w:cs="宋体" w:hint="eastAsia"/>
                <w:kern w:val="0"/>
                <w:sz w:val="20"/>
                <w:szCs w:val="20"/>
              </w:rPr>
              <w:t>现金股”组合形式持有股权，与孵化企业发展捆绑在一起，提升科技成果转化效率和成功率。</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科技部、国务院国资委</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9</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“定向研发、定向转化、定向服务”的订单式研发和成果转化机制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以校地产业研究院为平台，有针对性为企业设计和实施研发项目，研发团队全程参与企业技术攻关和成果转化，帮助企业突破发展急需的关键技术，提高高校和科研院所科技成果供给的有效性。</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科技部</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85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left"/>
              <w:rPr>
                <w:rFonts w:ascii="宋体" w:eastAsia="宋体" w:hAnsi="宋体" w:cs="宋体"/>
                <w:kern w:val="0"/>
                <w:sz w:val="24"/>
                <w:szCs w:val="24"/>
              </w:rPr>
            </w:pPr>
            <w:r w:rsidRPr="002B1012">
              <w:rPr>
                <w:rFonts w:ascii="宋体" w:eastAsia="宋体" w:hAnsi="宋体" w:cs="宋体" w:hint="eastAsia"/>
                <w:b/>
                <w:bCs/>
                <w:kern w:val="0"/>
                <w:sz w:val="20"/>
                <w:szCs w:val="20"/>
              </w:rPr>
              <w:t>三、科技金融创新方面（共</w:t>
            </w:r>
            <w:r w:rsidRPr="002B1012">
              <w:rPr>
                <w:rFonts w:ascii="Calibri" w:eastAsia="宋体" w:hAnsi="Calibri" w:cs="宋体" w:hint="eastAsia"/>
                <w:b/>
                <w:bCs/>
                <w:kern w:val="0"/>
                <w:sz w:val="20"/>
                <w:szCs w:val="20"/>
              </w:rPr>
              <w:t>5</w:t>
            </w:r>
            <w:r w:rsidRPr="002B1012">
              <w:rPr>
                <w:rFonts w:ascii="宋体" w:eastAsia="宋体" w:hAnsi="宋体" w:cs="宋体" w:hint="eastAsia"/>
                <w:b/>
                <w:bCs/>
                <w:kern w:val="0"/>
                <w:sz w:val="20"/>
                <w:szCs w:val="20"/>
              </w:rPr>
              <w:t>项）</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10</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区域性股权市场设置科技创新专板</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根据科技型中小企业的特点，在区域性股权市场推出“科技创新板”，提供挂牌展示、托管交易、投融资服务、培训辅导等服务，开拓融资渠道，缓解科技型中小企业融资难问题。</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中国证监会</w:t>
            </w:r>
          </w:p>
        </w:tc>
        <w:tc>
          <w:tcPr>
            <w:tcW w:w="1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8个改革试验区域</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11</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基于“六专机制”的科技型企业全生命周期金融综合服务</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银行完善以专用风险管理制度和技术手段、专项激励考核机制和专属客户信贷标准为核心的科技金融风险防控机制，试点银行建立专营组织架构体系、专业经营管理团队和专门管理信息系统。面向科技型企业推出远期共赢利息、知识产权质押等多种专属信贷产品，为轻资产、未盈利科技型企业提供有效的金融服务。</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中国银保监会、科技部、中国人民银行</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12</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推动政府股权基金投向种子期、初创期企业的容错机制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针对地方股权基金中的种子基金、风险投资基金设置不同比例的容错率，推动种子基金、风险投资基金投资企业发展早期。</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国家发展改革委、财政部</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13</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以协商估值、坏账分担为核心的中小企业商标质押贷款模式</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简化质押登记流程，建立商标质物处置机制，通过贷款贴息等方式，开展商标权质押贷款等无形资产质押融资，拓展中小企业融资途径。</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中国人民银行、中国银保监会、工业和信息化部、国家知识产权局</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14</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创新创业团队回购地方政府产业投资基金所持股权的机制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地方政府产业投资基金在参股高层次创新创业团队所办企业时，约定在一定时期内，创新创业团队可按照投资本金和同期商业贷款利息回购股权，激发创新创业积极性。</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国家发展改革委、财政部</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trHeight w:val="285"/>
          <w:jc w:val="center"/>
        </w:trPr>
        <w:tc>
          <w:tcPr>
            <w:tcW w:w="85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left"/>
              <w:rPr>
                <w:rFonts w:ascii="宋体" w:eastAsia="宋体" w:hAnsi="宋体" w:cs="宋体"/>
                <w:kern w:val="0"/>
                <w:sz w:val="24"/>
                <w:szCs w:val="24"/>
              </w:rPr>
            </w:pPr>
            <w:r w:rsidRPr="002B1012">
              <w:rPr>
                <w:rFonts w:ascii="宋体" w:eastAsia="宋体" w:hAnsi="宋体" w:cs="宋体" w:hint="eastAsia"/>
                <w:b/>
                <w:bCs/>
                <w:kern w:val="0"/>
                <w:sz w:val="20"/>
                <w:szCs w:val="20"/>
              </w:rPr>
              <w:t>四、军民深度融合方面（共</w:t>
            </w:r>
            <w:r w:rsidRPr="002B1012">
              <w:rPr>
                <w:rFonts w:ascii="Calibri" w:eastAsia="宋体" w:hAnsi="Calibri" w:cs="宋体" w:hint="eastAsia"/>
                <w:b/>
                <w:bCs/>
                <w:kern w:val="0"/>
                <w:sz w:val="20"/>
                <w:szCs w:val="20"/>
              </w:rPr>
              <w:t>6</w:t>
            </w:r>
            <w:r w:rsidRPr="002B1012">
              <w:rPr>
                <w:rFonts w:ascii="宋体" w:eastAsia="宋体" w:hAnsi="宋体" w:cs="宋体" w:hint="eastAsia"/>
                <w:b/>
                <w:bCs/>
                <w:kern w:val="0"/>
                <w:sz w:val="20"/>
                <w:szCs w:val="20"/>
              </w:rPr>
              <w:t>项）</w:t>
            </w:r>
          </w:p>
        </w:tc>
      </w:tr>
      <w:tr w:rsidR="002B1012" w:rsidRPr="002B1012" w:rsidTr="002B1012">
        <w:trPr>
          <w:jc w:val="center"/>
        </w:trPr>
        <w:tc>
          <w:tcPr>
            <w:tcW w:w="85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left"/>
              <w:rPr>
                <w:rFonts w:ascii="宋体" w:eastAsia="宋体" w:hAnsi="宋体" w:cs="宋体"/>
                <w:kern w:val="0"/>
                <w:sz w:val="24"/>
                <w:szCs w:val="24"/>
              </w:rPr>
            </w:pPr>
            <w:r w:rsidRPr="002B1012">
              <w:rPr>
                <w:rFonts w:ascii="宋体" w:eastAsia="宋体" w:hAnsi="宋体" w:cs="宋体" w:hint="eastAsia"/>
                <w:b/>
                <w:bCs/>
                <w:kern w:val="0"/>
                <w:sz w:val="20"/>
                <w:szCs w:val="20"/>
              </w:rPr>
              <w:t>五、管理体制创新方面（共</w:t>
            </w:r>
            <w:r w:rsidRPr="002B1012">
              <w:rPr>
                <w:rFonts w:ascii="Calibri" w:eastAsia="宋体" w:hAnsi="Calibri" w:cs="宋体" w:hint="eastAsia"/>
                <w:b/>
                <w:bCs/>
                <w:kern w:val="0"/>
                <w:sz w:val="20"/>
                <w:szCs w:val="20"/>
              </w:rPr>
              <w:t>3</w:t>
            </w:r>
            <w:r w:rsidRPr="002B1012">
              <w:rPr>
                <w:rFonts w:ascii="宋体" w:eastAsia="宋体" w:hAnsi="宋体" w:cs="宋体" w:hint="eastAsia"/>
                <w:b/>
                <w:bCs/>
                <w:kern w:val="0"/>
                <w:sz w:val="20"/>
                <w:szCs w:val="20"/>
              </w:rPr>
              <w:t>项）</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lastRenderedPageBreak/>
              <w:t>21</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允许地方高校自主开展人才引进和职称评审</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将职称评审和人才引进自主权下放给地方高校，允许高校因需评聘科研教学人员，自主制定招聘方案、设置岗位条件，依规发布招聘信息、组织公开招聘，及时引进“高精尖缺”人才和稳定骨干人才。</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教育部、人力资源社会保障部</w:t>
            </w:r>
          </w:p>
        </w:tc>
        <w:tc>
          <w:tcPr>
            <w:tcW w:w="1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8个改革试验区域</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22</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以授权为基础、市场化方式运营为核心的科研仪器设备开放共享机制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在不改变所有权前提下，科研仪器设备所有方与专业服务机构协议约定服务价格，或约定服务收入分配比例，授权专业服务机构对科研仪器设备进行市场化运营管理，提高科研仪器设备使用效率（免税进口的科研仪器设备按有关政策规定执行）。</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科技部、财政部、国务院国资委</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r w:rsidR="002B1012" w:rsidRPr="002B1012" w:rsidTr="002B1012">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23</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以地方立法形式建立推动改革创新的决策容错机制</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通过制定实施地方性法规，对政府部门、国有企业负责人在推动战略性新兴产业发展和实施创新项目中出现工作过失或影响任期目标实现的，只要没有谋取私利、符合程序规定，可免除行政追责和效能问责。</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rPr>
                <w:rFonts w:ascii="宋体" w:eastAsia="宋体" w:hAnsi="宋体" w:cs="宋体"/>
                <w:kern w:val="0"/>
                <w:sz w:val="24"/>
                <w:szCs w:val="24"/>
              </w:rPr>
            </w:pPr>
            <w:r w:rsidRPr="002B1012">
              <w:rPr>
                <w:rFonts w:ascii="宋体" w:eastAsia="宋体" w:hAnsi="宋体" w:cs="宋体" w:hint="eastAsia"/>
                <w:kern w:val="0"/>
                <w:sz w:val="20"/>
                <w:szCs w:val="20"/>
              </w:rPr>
              <w:t>国家发展改革委、国务院国资委、审计署</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12" w:rsidRPr="002B1012" w:rsidRDefault="002B1012" w:rsidP="002B1012">
            <w:pPr>
              <w:widowControl/>
              <w:jc w:val="center"/>
              <w:rPr>
                <w:rFonts w:ascii="宋体" w:eastAsia="宋体" w:hAnsi="宋体" w:cs="宋体"/>
                <w:kern w:val="0"/>
                <w:sz w:val="24"/>
                <w:szCs w:val="24"/>
              </w:rPr>
            </w:pPr>
            <w:r w:rsidRPr="002B1012">
              <w:rPr>
                <w:rFonts w:ascii="宋体" w:eastAsia="宋体" w:hAnsi="宋体" w:cs="宋体" w:hint="eastAsia"/>
                <w:kern w:val="0"/>
                <w:sz w:val="20"/>
                <w:szCs w:val="20"/>
              </w:rPr>
              <w:t>全国</w:t>
            </w:r>
          </w:p>
        </w:tc>
      </w:tr>
    </w:tbl>
    <w:p w:rsidR="00BA747B" w:rsidRDefault="00BA747B"/>
    <w:sectPr w:rsidR="00BA74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47B" w:rsidRDefault="00BA747B" w:rsidP="002B1012">
      <w:r>
        <w:separator/>
      </w:r>
    </w:p>
  </w:endnote>
  <w:endnote w:type="continuationSeparator" w:id="1">
    <w:p w:rsidR="00BA747B" w:rsidRDefault="00BA747B" w:rsidP="002B1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47B" w:rsidRDefault="00BA747B" w:rsidP="002B1012">
      <w:r>
        <w:separator/>
      </w:r>
    </w:p>
  </w:footnote>
  <w:footnote w:type="continuationSeparator" w:id="1">
    <w:p w:rsidR="00BA747B" w:rsidRDefault="00BA747B" w:rsidP="002B1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1012"/>
    <w:rsid w:val="002B1012"/>
    <w:rsid w:val="00BA7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1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1012"/>
    <w:rPr>
      <w:sz w:val="18"/>
      <w:szCs w:val="18"/>
    </w:rPr>
  </w:style>
  <w:style w:type="paragraph" w:styleId="a4">
    <w:name w:val="footer"/>
    <w:basedOn w:val="a"/>
    <w:link w:val="Char0"/>
    <w:uiPriority w:val="99"/>
    <w:semiHidden/>
    <w:unhideWhenUsed/>
    <w:rsid w:val="002B10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1012"/>
    <w:rPr>
      <w:sz w:val="18"/>
      <w:szCs w:val="18"/>
    </w:rPr>
  </w:style>
  <w:style w:type="paragraph" w:styleId="a5">
    <w:name w:val="Normal (Web)"/>
    <w:basedOn w:val="a"/>
    <w:uiPriority w:val="99"/>
    <w:semiHidden/>
    <w:unhideWhenUsed/>
    <w:rsid w:val="002B10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79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2019-01-17T02:10:00Z</dcterms:created>
  <dcterms:modified xsi:type="dcterms:W3CDTF">2019-01-17T02:10:00Z</dcterms:modified>
</cp:coreProperties>
</file>