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西咸新区消防救援支队202</w:t>
      </w:r>
      <w:r w:rsidR="0046488C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5A0DE9"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月份“双随机 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公开”</w:t>
      </w:r>
    </w:p>
    <w:p w:rsidR="00A4053A" w:rsidRDefault="0041461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监督抽查任务公示</w:t>
      </w:r>
    </w:p>
    <w:p w:rsidR="00F12346" w:rsidRDefault="00F1234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5"/>
        <w:tblpPr w:leftFromText="180" w:rightFromText="180" w:vertAnchor="text" w:horzAnchor="margin" w:tblpY="82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2552"/>
        <w:gridCol w:w="3260"/>
        <w:gridCol w:w="1984"/>
      </w:tblGrid>
      <w:tr w:rsidR="00F07EED" w:rsidTr="00614F3D">
        <w:trPr>
          <w:trHeight w:val="874"/>
        </w:trPr>
        <w:tc>
          <w:tcPr>
            <w:tcW w:w="2518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上级机构</w:t>
            </w:r>
          </w:p>
        </w:tc>
        <w:tc>
          <w:tcPr>
            <w:tcW w:w="3969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1984" w:type="dxa"/>
            <w:vAlign w:val="center"/>
          </w:tcPr>
          <w:p w:rsidR="00F07EED" w:rsidRDefault="00F07EED" w:rsidP="00F07EED">
            <w:pPr>
              <w:widowControl/>
              <w:jc w:val="center"/>
              <w:textAlignment w:val="center"/>
            </w:pPr>
            <w:r>
              <w:rPr>
                <w:rFonts w:ascii="Calibri" w:eastAsia="宋体" w:hAnsi="Calibri" w:cs="Calibri"/>
                <w:b/>
                <w:color w:val="000000"/>
                <w:kern w:val="0"/>
                <w:sz w:val="24"/>
              </w:rPr>
              <w:t>抽查类型</w:t>
            </w:r>
          </w:p>
        </w:tc>
      </w:tr>
      <w:tr w:rsidR="005A0DE9" w:rsidTr="007759D2">
        <w:trPr>
          <w:trHeight w:val="1228"/>
        </w:trPr>
        <w:tc>
          <w:tcPr>
            <w:tcW w:w="2518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5A0DE9" w:rsidRPr="009856B3" w:rsidRDefault="005A0DE9" w:rsidP="007C0C1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A71EA5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西咸新区</w:t>
            </w:r>
            <w:proofErr w:type="gramStart"/>
            <w:r w:rsidRPr="00A71EA5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 w:rsidRPr="00A71EA5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东新城卡朵玛朵服装店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A0DE9" w:rsidRPr="009856B3" w:rsidRDefault="005A0DE9" w:rsidP="007C0C1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九小场所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A0DE9" w:rsidRPr="009856B3" w:rsidRDefault="005A0DE9" w:rsidP="007C0C1C">
            <w:pPr>
              <w:widowControl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陕西省西安市长安区陕西省西咸新区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东新城三桥街道办事处和平社区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吾悦广场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一楼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501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号商铺</w:t>
            </w:r>
          </w:p>
        </w:tc>
        <w:tc>
          <w:tcPr>
            <w:tcW w:w="1984" w:type="dxa"/>
            <w:vAlign w:val="center"/>
          </w:tcPr>
          <w:p w:rsidR="005A0DE9" w:rsidRPr="00F918A4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  <w:tr w:rsidR="00F07EED" w:rsidTr="007759D2">
        <w:trPr>
          <w:trHeight w:val="1118"/>
        </w:trPr>
        <w:tc>
          <w:tcPr>
            <w:tcW w:w="2518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西咸新区消防救援支队</w:t>
            </w:r>
          </w:p>
        </w:tc>
        <w:tc>
          <w:tcPr>
            <w:tcW w:w="3969" w:type="dxa"/>
            <w:vAlign w:val="center"/>
          </w:tcPr>
          <w:p w:rsidR="00F07EED" w:rsidRPr="005A0DE9" w:rsidRDefault="005A0DE9" w:rsidP="00614F3D">
            <w:pPr>
              <w:widowControl/>
              <w:spacing w:line="300" w:lineRule="exact"/>
              <w:jc w:val="center"/>
              <w:textAlignment w:val="center"/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</w:pPr>
            <w:r w:rsidRPr="005A0DE9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</w:t>
            </w:r>
            <w:proofErr w:type="gramStart"/>
            <w:r w:rsidRPr="005A0DE9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荣耀航</w:t>
            </w:r>
            <w:proofErr w:type="gramEnd"/>
            <w:r w:rsidRPr="005A0DE9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商贸有限公</w:t>
            </w:r>
            <w:bookmarkStart w:id="0" w:name="_GoBack"/>
            <w:bookmarkEnd w:id="0"/>
            <w:r w:rsidRPr="005A0DE9"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7EED" w:rsidRPr="003D1210" w:rsidRDefault="000E4D30" w:rsidP="007759D2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0E4D30"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  <w:t>一般单位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07EED" w:rsidRPr="007759D2" w:rsidRDefault="005A0DE9" w:rsidP="007759D2">
            <w:pPr>
              <w:jc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陕西省西安市长安区陕西省西咸新区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沣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西新城</w:t>
            </w:r>
            <w:proofErr w:type="gramStart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吾悦广场</w:t>
            </w:r>
            <w:proofErr w:type="gramEnd"/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8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号楼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单元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701</w:t>
            </w:r>
            <w:r>
              <w:rPr>
                <w:rFonts w:ascii="Segoe UI" w:hAnsi="Segoe UI" w:cs="Segoe UI"/>
                <w:color w:val="303133"/>
                <w:szCs w:val="21"/>
                <w:shd w:val="clear" w:color="auto" w:fill="FFFFFF"/>
              </w:rPr>
              <w:t>室</w:t>
            </w:r>
          </w:p>
        </w:tc>
        <w:tc>
          <w:tcPr>
            <w:tcW w:w="1984" w:type="dxa"/>
            <w:vAlign w:val="center"/>
          </w:tcPr>
          <w:p w:rsidR="00F07EED" w:rsidRPr="00F918A4" w:rsidRDefault="00F07EED" w:rsidP="00614F3D">
            <w:pPr>
              <w:widowControl/>
              <w:spacing w:line="300" w:lineRule="exact"/>
              <w:jc w:val="center"/>
              <w:textAlignment w:val="center"/>
              <w:rPr>
                <w:rFonts w:asciiTheme="majorEastAsia" w:eastAsiaTheme="majorEastAsia" w:hAnsiTheme="majorEastAsia" w:cs="Calibri"/>
                <w:color w:val="000000"/>
                <w:kern w:val="0"/>
                <w:szCs w:val="21"/>
              </w:rPr>
            </w:pPr>
            <w:r w:rsidRPr="00F918A4">
              <w:rPr>
                <w:rFonts w:asciiTheme="majorEastAsia" w:eastAsiaTheme="majorEastAsia" w:hAnsiTheme="majorEastAsia" w:cs="Calibri" w:hint="eastAsia"/>
                <w:color w:val="000000"/>
                <w:kern w:val="0"/>
                <w:szCs w:val="21"/>
              </w:rPr>
              <w:t>日常抽查</w:t>
            </w:r>
          </w:p>
        </w:tc>
      </w:tr>
    </w:tbl>
    <w:p w:rsidR="00A4053A" w:rsidRPr="00CF59D0" w:rsidRDefault="00A4053A" w:rsidP="00F07EED">
      <w:pPr>
        <w:widowControl/>
        <w:textAlignment w:val="center"/>
        <w:rPr>
          <w:rFonts w:ascii="方正仿宋_GBK" w:eastAsia="方正仿宋_GBK" w:hAnsi="Calibri" w:cs="Calibri"/>
          <w:color w:val="000000"/>
          <w:kern w:val="0"/>
          <w:sz w:val="23"/>
          <w:szCs w:val="23"/>
        </w:rPr>
      </w:pPr>
    </w:p>
    <w:sectPr w:rsidR="00A4053A" w:rsidRPr="00CF59D0" w:rsidSect="00614F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A0" w:rsidRDefault="004436A0" w:rsidP="00414614">
      <w:r>
        <w:separator/>
      </w:r>
    </w:p>
  </w:endnote>
  <w:endnote w:type="continuationSeparator" w:id="0">
    <w:p w:rsidR="004436A0" w:rsidRDefault="004436A0" w:rsidP="0041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A0" w:rsidRDefault="004436A0" w:rsidP="00414614">
      <w:r>
        <w:separator/>
      </w:r>
    </w:p>
  </w:footnote>
  <w:footnote w:type="continuationSeparator" w:id="0">
    <w:p w:rsidR="004436A0" w:rsidRDefault="004436A0" w:rsidP="00414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C783B"/>
    <w:rsid w:val="00045D27"/>
    <w:rsid w:val="00081EFA"/>
    <w:rsid w:val="0009004B"/>
    <w:rsid w:val="000C0516"/>
    <w:rsid w:val="000E2473"/>
    <w:rsid w:val="000E4D30"/>
    <w:rsid w:val="00127347"/>
    <w:rsid w:val="0014777E"/>
    <w:rsid w:val="001C783B"/>
    <w:rsid w:val="003060D6"/>
    <w:rsid w:val="003B70D4"/>
    <w:rsid w:val="003D1210"/>
    <w:rsid w:val="003E57E6"/>
    <w:rsid w:val="00414614"/>
    <w:rsid w:val="004436A0"/>
    <w:rsid w:val="0046488C"/>
    <w:rsid w:val="004D1F6B"/>
    <w:rsid w:val="00536DD6"/>
    <w:rsid w:val="00567FCB"/>
    <w:rsid w:val="005A0DE9"/>
    <w:rsid w:val="005A54F0"/>
    <w:rsid w:val="00614F3D"/>
    <w:rsid w:val="00697E78"/>
    <w:rsid w:val="00751B16"/>
    <w:rsid w:val="007759D2"/>
    <w:rsid w:val="00780C60"/>
    <w:rsid w:val="007E51D6"/>
    <w:rsid w:val="007E62EA"/>
    <w:rsid w:val="007E76D1"/>
    <w:rsid w:val="0084000B"/>
    <w:rsid w:val="008933BA"/>
    <w:rsid w:val="008C12FC"/>
    <w:rsid w:val="008E7E47"/>
    <w:rsid w:val="00906D93"/>
    <w:rsid w:val="00906FDB"/>
    <w:rsid w:val="00A4053A"/>
    <w:rsid w:val="00B13C30"/>
    <w:rsid w:val="00B24E7E"/>
    <w:rsid w:val="00B45024"/>
    <w:rsid w:val="00B533BD"/>
    <w:rsid w:val="00CD6860"/>
    <w:rsid w:val="00CF59D0"/>
    <w:rsid w:val="00D05FA1"/>
    <w:rsid w:val="00DA2D93"/>
    <w:rsid w:val="00DE5CA1"/>
    <w:rsid w:val="00EB1BF5"/>
    <w:rsid w:val="00EB7B28"/>
    <w:rsid w:val="00F07EED"/>
    <w:rsid w:val="00F12346"/>
    <w:rsid w:val="00F80E0F"/>
    <w:rsid w:val="00F86518"/>
    <w:rsid w:val="00F918A4"/>
    <w:rsid w:val="00FB0771"/>
    <w:rsid w:val="03C93484"/>
    <w:rsid w:val="13F5032A"/>
    <w:rsid w:val="13FA468D"/>
    <w:rsid w:val="1F7979C3"/>
    <w:rsid w:val="2D404206"/>
    <w:rsid w:val="305E1590"/>
    <w:rsid w:val="366E0980"/>
    <w:rsid w:val="3DF17827"/>
    <w:rsid w:val="44D2164B"/>
    <w:rsid w:val="4B473265"/>
    <w:rsid w:val="51A246EE"/>
    <w:rsid w:val="530E6697"/>
    <w:rsid w:val="56773B6B"/>
    <w:rsid w:val="58512663"/>
    <w:rsid w:val="59452B1C"/>
    <w:rsid w:val="59D3708E"/>
    <w:rsid w:val="7F32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0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0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400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sid w:val="0084000B"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sid w:val="0084000B"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0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qFormat/>
    <w:rPr>
      <w:color w:val="0000FF"/>
      <w:sz w:val="18"/>
      <w:szCs w:val="18"/>
      <w:u w:val="none"/>
    </w:rPr>
  </w:style>
  <w:style w:type="character" w:styleId="a7">
    <w:name w:val="Hyperlink"/>
    <w:basedOn w:val="a0"/>
    <w:qFormat/>
    <w:rPr>
      <w:color w:val="0000FF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方燕培</cp:lastModifiedBy>
  <cp:revision>39</cp:revision>
  <dcterms:created xsi:type="dcterms:W3CDTF">2021-07-15T02:10:00Z</dcterms:created>
  <dcterms:modified xsi:type="dcterms:W3CDTF">2024-04-02T01:14:00Z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3E7803C741BF412886D16F8972A0CC0F</vt:lpwstr>
  </property>
</Properties>
</file>